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B" w:rsidRPr="001274CB" w:rsidRDefault="001274CB" w:rsidP="001274CB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t-BR"/>
        </w:rPr>
      </w:pPr>
    </w:p>
    <w:tbl>
      <w:tblPr>
        <w:tblW w:w="42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305"/>
      </w:tblGrid>
      <w:tr w:rsidR="001274CB" w:rsidRPr="001274CB" w:rsidTr="001274CB">
        <w:trPr>
          <w:tblCellSpacing w:w="15" w:type="dxa"/>
          <w:jc w:val="center"/>
        </w:trPr>
        <w:tc>
          <w:tcPr>
            <w:tcW w:w="0" w:type="auto"/>
            <w:shd w:val="clear" w:color="auto" w:fill="2C639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4CB" w:rsidRPr="001274CB" w:rsidRDefault="001274CB" w:rsidP="001274C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274CB">
              <w:rPr>
                <w:rFonts w:ascii="Verdana" w:eastAsia="Times New Roman" w:hAnsi="Verdana"/>
                <w:b/>
                <w:bCs/>
                <w:color w:val="FFFFFF"/>
                <w:lang w:eastAsia="pt-BR"/>
              </w:rPr>
              <w:t>O Globo</w:t>
            </w:r>
          </w:p>
        </w:tc>
      </w:tr>
      <w:tr w:rsidR="001274CB" w:rsidRPr="001274CB" w:rsidTr="001274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4CB" w:rsidRPr="001274CB" w:rsidRDefault="001274CB" w:rsidP="001274C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1274CB">
              <w:rPr>
                <w:rFonts w:ascii="Verdana" w:eastAsia="Times New Roman" w:hAnsi="Verdana"/>
                <w:b/>
                <w:bCs/>
                <w:color w:val="1E3260"/>
                <w:sz w:val="21"/>
                <w:lang w:eastAsia="pt-BR"/>
              </w:rPr>
              <w:t>O outro lado da "guerra" fiscal</w:t>
            </w:r>
          </w:p>
        </w:tc>
      </w:tr>
      <w:tr w:rsidR="001274CB" w:rsidRPr="001274CB" w:rsidTr="001274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4CB" w:rsidRDefault="001274CB" w:rsidP="001274CB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616161"/>
                <w:sz w:val="17"/>
                <w:lang w:eastAsia="pt-BR"/>
              </w:rPr>
            </w:pPr>
            <w:r w:rsidRPr="001274CB">
              <w:rPr>
                <w:rFonts w:ascii="Verdana" w:eastAsia="Times New Roman" w:hAnsi="Verdana"/>
                <w:i/>
                <w:iCs/>
                <w:color w:val="616161"/>
                <w:sz w:val="17"/>
                <w:lang w:eastAsia="pt-BR"/>
              </w:rPr>
              <w:t xml:space="preserve">Luis Paulo Rosenberg e </w:t>
            </w:r>
            <w:proofErr w:type="spellStart"/>
            <w:r w:rsidRPr="001274CB">
              <w:rPr>
                <w:rFonts w:ascii="Verdana" w:eastAsia="Times New Roman" w:hAnsi="Verdana"/>
                <w:i/>
                <w:iCs/>
                <w:color w:val="616161"/>
                <w:sz w:val="17"/>
                <w:lang w:eastAsia="pt-BR"/>
              </w:rPr>
              <w:t>Michal</w:t>
            </w:r>
            <w:proofErr w:type="spellEnd"/>
            <w:r w:rsidRPr="001274CB">
              <w:rPr>
                <w:rFonts w:ascii="Verdana" w:eastAsia="Times New Roman" w:hAnsi="Verdana"/>
                <w:i/>
                <w:iCs/>
                <w:color w:val="616161"/>
                <w:sz w:val="17"/>
                <w:lang w:eastAsia="pt-BR"/>
              </w:rPr>
              <w:t xml:space="preserve"> </w:t>
            </w:r>
            <w:proofErr w:type="spellStart"/>
            <w:r w:rsidRPr="001274CB">
              <w:rPr>
                <w:rFonts w:ascii="Verdana" w:eastAsia="Times New Roman" w:hAnsi="Verdana"/>
                <w:i/>
                <w:iCs/>
                <w:color w:val="616161"/>
                <w:sz w:val="17"/>
                <w:lang w:eastAsia="pt-BR"/>
              </w:rPr>
              <w:t>Gartenkraut</w:t>
            </w:r>
            <w:proofErr w:type="spellEnd"/>
          </w:p>
          <w:p w:rsidR="00DD5B92" w:rsidRPr="001274CB" w:rsidRDefault="00DD5B92" w:rsidP="001274CB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1274CB" w:rsidRPr="00DD5B92" w:rsidTr="001274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 xml:space="preserve">Temos presenciado intensos debates e discussões para os quais </w:t>
            </w:r>
            <w:proofErr w:type="gramStart"/>
            <w:r w:rsidRPr="00DD5B92">
              <w:rPr>
                <w:rFonts w:eastAsia="Times New Roman"/>
                <w:color w:val="000000"/>
                <w:lang w:eastAsia="pt-BR"/>
              </w:rPr>
              <w:t>empresários, trabalhadores e políticos</w:t>
            </w:r>
            <w:proofErr w:type="gramEnd"/>
            <w:r w:rsidRPr="00DD5B92">
              <w:rPr>
                <w:rFonts w:eastAsia="Times New Roman"/>
                <w:color w:val="000000"/>
                <w:lang w:eastAsia="pt-BR"/>
              </w:rPr>
              <w:t xml:space="preserve"> pregam o combate ao que se convencionou chamar de "guerra fiscal" e "guerra dos portos". No centro dos debates está a concessão de incentivos de ICMS, por governos estaduais, com objetivo de atrair investimentos e promover o fluxo de importações em regiões com menor dinâmica econômica.</w:t>
            </w:r>
          </w:p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 xml:space="preserve">O momento é oportuno para a discussão, pois o tema deve integrar qualquer proposta de reforma tributária, e </w:t>
            </w:r>
            <w:proofErr w:type="spellStart"/>
            <w:r w:rsidRPr="00DD5B92">
              <w:rPr>
                <w:rFonts w:eastAsia="Times New Roman"/>
                <w:color w:val="000000"/>
                <w:lang w:eastAsia="pt-BR"/>
              </w:rPr>
              <w:t>frequenta</w:t>
            </w:r>
            <w:proofErr w:type="spellEnd"/>
            <w:r w:rsidRPr="00DD5B92">
              <w:rPr>
                <w:rFonts w:eastAsia="Times New Roman"/>
                <w:color w:val="000000"/>
                <w:lang w:eastAsia="pt-BR"/>
              </w:rPr>
              <w:t xml:space="preserve"> a mídia especialmente após a apresentação do projeto de resolução nº 72 do Senado. Tal medida propõe a redução a zero das alíquotas de ICMS sobre importação e sobre transações interestaduais de produtos oriundos do exterior e sem valor adicionado no Estado de origem.</w:t>
            </w:r>
          </w:p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>A justificativa da proposta do Senado é de que os incentivos fiscais são “prejudiciais à produção nacional, provocando uma explosão das importações com perdas substanciais de produção e empregos”. O projeto de resolução defende que a redução a zero da alíquota retiraria a capacidade de Estados concederem os incentivos, acabando assim com a competição fiscal.</w:t>
            </w:r>
          </w:p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>Em nossa opinião, em seu formato original, a proposta é impraticável por não estimular o Estado de origem a fiscalizar sua aplicação, e seria extremamente difícil distinguir, nas transações interestaduais, os produtos importados e aqueles sem nenhuma elaboração no Estado de origem.</w:t>
            </w:r>
          </w:p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 xml:space="preserve">A tese que fundamenta a proposta, de um forte impacto dos incentivos sobre as importações, não se confirma nos números. O estudo “Importações e incentivos </w:t>
            </w:r>
            <w:proofErr w:type="gramStart"/>
            <w:r w:rsidRPr="00DD5B92">
              <w:rPr>
                <w:rFonts w:eastAsia="Times New Roman"/>
                <w:color w:val="000000"/>
                <w:lang w:eastAsia="pt-BR"/>
              </w:rPr>
              <w:t>fiscais:</w:t>
            </w:r>
            <w:proofErr w:type="gramEnd"/>
            <w:r w:rsidRPr="00DD5B92">
              <w:rPr>
                <w:rFonts w:eastAsia="Times New Roman"/>
                <w:color w:val="000000"/>
                <w:lang w:eastAsia="pt-BR"/>
              </w:rPr>
              <w:t>desconstruindo mitos”, elaborado pela Rosenberg &amp; Associados para a Associação Brasileira de Empresas de Comércio Exterior (</w:t>
            </w:r>
            <w:proofErr w:type="spellStart"/>
            <w:r w:rsidRPr="00DD5B92">
              <w:rPr>
                <w:rFonts w:eastAsia="Times New Roman"/>
                <w:color w:val="000000"/>
                <w:lang w:eastAsia="pt-BR"/>
              </w:rPr>
              <w:t>Abece</w:t>
            </w:r>
            <w:proofErr w:type="spellEnd"/>
            <w:r w:rsidRPr="00DD5B92">
              <w:rPr>
                <w:rFonts w:eastAsia="Times New Roman"/>
                <w:color w:val="000000"/>
                <w:lang w:eastAsia="pt-BR"/>
              </w:rPr>
              <w:t xml:space="preserve">), não confirma essa tese. O trabalho mostra que 99% do comportamento das importações brasileiras nos últimos anos se </w:t>
            </w:r>
            <w:proofErr w:type="gramStart"/>
            <w:r w:rsidRPr="00DD5B92">
              <w:rPr>
                <w:rFonts w:eastAsia="Times New Roman"/>
                <w:color w:val="000000"/>
                <w:lang w:eastAsia="pt-BR"/>
              </w:rPr>
              <w:t>explica</w:t>
            </w:r>
            <w:proofErr w:type="gramEnd"/>
            <w:r w:rsidRPr="00DD5B92">
              <w:rPr>
                <w:rFonts w:eastAsia="Times New Roman"/>
                <w:color w:val="000000"/>
                <w:lang w:eastAsia="pt-BR"/>
              </w:rPr>
              <w:t xml:space="preserve"> pelo crescimento do PIB e pelo câmbio.</w:t>
            </w:r>
          </w:p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 xml:space="preserve">Um incentivo fiscal de ICMS pode ter impacto sobre o preço efetivo do produto importado em reais, porém muitos destes produtos têm tratamento diferenciado por tratados internacionais. Além disso, por incidir o ICMS “por cima” do imposto de importação, de até 35% (uma proteção adequada à produção nacional), o impacto dos incentivos torna-se muito reduzido quando comparado aos do câmbio valorizado e do crescimento da economia. Podem ter promovido uma realocação de fluxos de importação por diferentes rotas e portas de entrada, nunca uma expressiva perda de </w:t>
            </w:r>
            <w:r w:rsidRPr="00DD5B92">
              <w:rPr>
                <w:rFonts w:eastAsia="Times New Roman"/>
                <w:color w:val="000000"/>
                <w:lang w:eastAsia="pt-BR"/>
              </w:rPr>
              <w:lastRenderedPageBreak/>
              <w:t>produção e empregos.</w:t>
            </w:r>
          </w:p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 xml:space="preserve">O STF já se pronunciou quanto aos incentivos de forma incisiva e por unanimidade. Importa esclarecer apenas que, nas decisões do STF, a ilegalidade refere-se ao fato de as operações não terem sido submetidas à unanimidade do </w:t>
            </w:r>
            <w:proofErr w:type="spellStart"/>
            <w:r w:rsidRPr="00DD5B92">
              <w:rPr>
                <w:rFonts w:eastAsia="Times New Roman"/>
                <w:color w:val="000000"/>
                <w:lang w:eastAsia="pt-BR"/>
              </w:rPr>
              <w:t>Confaz</w:t>
            </w:r>
            <w:proofErr w:type="spellEnd"/>
            <w:r w:rsidRPr="00DD5B92">
              <w:rPr>
                <w:rFonts w:eastAsia="Times New Roman"/>
                <w:color w:val="000000"/>
                <w:lang w:eastAsia="pt-BR"/>
              </w:rPr>
              <w:t>.</w:t>
            </w:r>
          </w:p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>Oportuno observar, também, que a base legal para as decisões, além da Constituição, é a Lei Complementar 24, de 1975, fundamentada na preocupação então existente de que uma autonomia dos Estados poderia levar à perda de arrecadação e à deterioração das finanças estaduais; e no modelo centralizador vigente na época.</w:t>
            </w:r>
          </w:p>
          <w:p w:rsidR="001274CB" w:rsidRPr="00DD5B92" w:rsidRDefault="001274CB" w:rsidP="00DD5B9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lang w:eastAsia="pt-BR"/>
              </w:rPr>
            </w:pPr>
            <w:r w:rsidRPr="00DD5B92">
              <w:rPr>
                <w:rFonts w:eastAsia="Times New Roman"/>
                <w:color w:val="000000"/>
                <w:lang w:eastAsia="pt-BR"/>
              </w:rPr>
              <w:t xml:space="preserve">Ambos os argumentos estão superados com o advento da redemocratização, que defende a descentralização política, e da Lei de Responsabilidade Fiscal, de 2001. É louvável o esforço de se propor uma reforma tributária, mas isso não pode ocorrer com base em uma decisão eminentemente política e pouca avaliação técnica. Não se </w:t>
            </w:r>
            <w:proofErr w:type="gramStart"/>
            <w:r w:rsidRPr="00DD5B92">
              <w:rPr>
                <w:rFonts w:eastAsia="Times New Roman"/>
                <w:color w:val="000000"/>
                <w:lang w:eastAsia="pt-BR"/>
              </w:rPr>
              <w:t>pode extinguir</w:t>
            </w:r>
            <w:proofErr w:type="gramEnd"/>
            <w:r w:rsidRPr="00DD5B92">
              <w:rPr>
                <w:rFonts w:eastAsia="Times New Roman"/>
                <w:color w:val="000000"/>
                <w:lang w:eastAsia="pt-BR"/>
              </w:rPr>
              <w:t xml:space="preserve"> instrumentos de desenvolvimento regional, que trouxeram grandes melhorias para os estados mais pobres, sem colocar nada em seu lugar. Não evoluiremos se as propostas insistirem em modelos superados e sem que ocorra uma transição segura, em espaço de tempo adequado.</w:t>
            </w:r>
          </w:p>
        </w:tc>
      </w:tr>
    </w:tbl>
    <w:p w:rsidR="001274CB" w:rsidRPr="00DD5B92" w:rsidRDefault="001274CB" w:rsidP="00DD5B9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pt-BR"/>
        </w:rPr>
      </w:pPr>
      <w:r w:rsidRPr="00DD5B92">
        <w:rPr>
          <w:rFonts w:eastAsia="Times New Roman"/>
          <w:color w:val="000000"/>
          <w:lang w:eastAsia="pt-BR"/>
        </w:rPr>
        <w:lastRenderedPageBreak/>
        <w:t> </w:t>
      </w:r>
    </w:p>
    <w:p w:rsidR="001274CB" w:rsidRPr="00DD5B92" w:rsidRDefault="001274CB" w:rsidP="00DD5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lang w:eastAsia="pt-BR"/>
        </w:rPr>
      </w:pPr>
      <w:r w:rsidRPr="00DD5B92">
        <w:rPr>
          <w:rFonts w:ascii="Arial" w:eastAsia="Times New Roman" w:hAnsi="Arial" w:cs="Arial"/>
          <w:lang w:eastAsia="pt-BR"/>
        </w:rPr>
        <w:t> </w:t>
      </w:r>
    </w:p>
    <w:p w:rsidR="001274CB" w:rsidRPr="00DD5B92" w:rsidRDefault="001274CB" w:rsidP="00DD5B92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t-BR"/>
        </w:rPr>
      </w:pPr>
      <w:r w:rsidRPr="00DD5B92">
        <w:rPr>
          <w:rFonts w:eastAsia="Times New Roman"/>
          <w:color w:val="000000"/>
          <w:sz w:val="20"/>
          <w:szCs w:val="20"/>
          <w:lang w:eastAsia="pt-BR"/>
        </w:rPr>
        <w:t>Fonte: Sistema de Informações IEA/FUNCEX, 25/07/11</w:t>
      </w:r>
    </w:p>
    <w:p w:rsidR="001274CB" w:rsidRPr="00DD5B92" w:rsidRDefault="001274CB" w:rsidP="00DD5B9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pt-BR"/>
        </w:rPr>
      </w:pPr>
      <w:r w:rsidRPr="00DD5B92">
        <w:rPr>
          <w:rFonts w:eastAsia="Times New Roman"/>
          <w:color w:val="000000"/>
          <w:lang w:eastAsia="pt-BR"/>
        </w:rPr>
        <w:t> </w:t>
      </w:r>
    </w:p>
    <w:p w:rsidR="00F6046D" w:rsidRDefault="00F6046D"/>
    <w:sectPr w:rsidR="00F6046D" w:rsidSect="00F60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CB"/>
    <w:rsid w:val="001274CB"/>
    <w:rsid w:val="00291A8D"/>
    <w:rsid w:val="0035422A"/>
    <w:rsid w:val="004A7603"/>
    <w:rsid w:val="005A75D6"/>
    <w:rsid w:val="007A4FF0"/>
    <w:rsid w:val="00DB79AB"/>
    <w:rsid w:val="00DD5B92"/>
    <w:rsid w:val="00F6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idiamostranoticia1">
    <w:name w:val="midiamostranoticia1"/>
    <w:basedOn w:val="Fontepargpadro"/>
    <w:rsid w:val="001274CB"/>
  </w:style>
  <w:style w:type="character" w:customStyle="1" w:styleId="titulomostranoticia1">
    <w:name w:val="titulomostranoticia1"/>
    <w:basedOn w:val="Fontepargpadro"/>
    <w:rsid w:val="001274CB"/>
  </w:style>
  <w:style w:type="character" w:customStyle="1" w:styleId="jornalistamostranoticia1">
    <w:name w:val="jornalistamostranoticia1"/>
    <w:basedOn w:val="Fontepargpadro"/>
    <w:rsid w:val="001274CB"/>
  </w:style>
  <w:style w:type="paragraph" w:styleId="NormalWeb">
    <w:name w:val="Normal (Web)"/>
    <w:basedOn w:val="Normal"/>
    <w:uiPriority w:val="99"/>
    <w:unhideWhenUsed/>
    <w:rsid w:val="001274CB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274CB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74CB"/>
    <w:rPr>
      <w:rFonts w:eastAsia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2011-11-04T18:48:00Z</dcterms:created>
  <dcterms:modified xsi:type="dcterms:W3CDTF">2011-11-10T13:11:00Z</dcterms:modified>
</cp:coreProperties>
</file>